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397" w:type="dxa"/>
        <w:tblLayout w:type="fixed"/>
        <w:tblLook w:val="01E0" w:firstRow="1" w:lastRow="1" w:firstColumn="1" w:lastColumn="1" w:noHBand="0" w:noVBand="0"/>
      </w:tblPr>
      <w:tblGrid>
        <w:gridCol w:w="4820"/>
        <w:gridCol w:w="5577"/>
      </w:tblGrid>
      <w:tr>
        <w:trPr>
          <w:trHeight w:val="2820"/>
        </w:trPr>
        <w:tblPrEx/>
        <w:tc>
          <w:tcPr>
            <w:tcW w:w="4820" w:type="dxa"/>
            <w:shd w:val="clear" w:color="auto" w:fill="auto"/>
            <w:noWrap w:val="false"/>
            <w:textDirection w:val="lrTb"/>
          </w:tcPr>
          <w:p>
            <w:pPr>
              <w:spacing w:line="360" w:lineRule="auto"/>
              <w:jc w:val="center"/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  <w:t xml:space="preserve">ООО «Интер РАО - ИТ»</w:t>
            </w: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r>
          </w:p>
          <w:p>
            <w:pPr>
              <w:tabs>
                <w:tab w:val="left" w:pos="6480" w:leader="none"/>
                <w:tab w:val="left" w:pos="6660" w:leader="none"/>
              </w:tabs>
              <w:spacing w:after="120"/>
              <w:jc w:val="center"/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  <w:t xml:space="preserve">Аппарат                                      генерального директора</w:t>
            </w: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r>
          </w:p>
          <w:p>
            <w:pPr>
              <w:tabs>
                <w:tab w:val="left" w:pos="6480" w:leader="none"/>
                <w:tab w:val="left" w:pos="6660" w:leader="none"/>
              </w:tabs>
              <w:spacing w:after="120"/>
              <w:jc w:val="center"/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  <w:t xml:space="preserve">КОРПОРАТИВНОЕ ПИСЬМО</w:t>
            </w:r>
            <w:r>
              <w:rPr>
                <w:rFonts w:ascii="Liberation Serif" w:hAnsi="Liberation Serif" w:eastAsia="Arial Unicode MS" w:cs="Liberation Serif"/>
                <w:b/>
                <w:bCs/>
                <w:sz w:val="28"/>
                <w:szCs w:val="28"/>
              </w:rPr>
            </w:r>
          </w:p>
          <w:p>
            <w:pPr>
              <w:spacing w:before="240" w:after="240"/>
              <w:jc w:val="center"/>
              <w:rPr>
                <w:rFonts w:ascii="Liberation Serif" w:hAnsi="Liberation Serif" w:eastAsia="Arial Unicode MS" w:cs="Liberation Serif"/>
                <w:bCs/>
                <w:sz w:val="28"/>
                <w:szCs w:val="28"/>
              </w:rPr>
            </w:pPr>
            <w:r>
              <w:rPr>
                <w:rFonts w:ascii="Liberation Serif" w:hAnsi="Liberation Serif" w:eastAsia="Arial Unicode MS" w:cs="Liberation Serif"/>
                <w:bCs/>
                <w:sz w:val="28"/>
                <w:szCs w:val="28"/>
              </w:rPr>
              <w:t xml:space="preserve">___________   №  ____________</w:t>
            </w:r>
            <w:r>
              <w:rPr>
                <w:rFonts w:ascii="Liberation Serif" w:hAnsi="Liberation Serif" w:eastAsia="Arial Unicode MS" w:cs="Liberation Serif"/>
                <w:bCs/>
                <w:sz w:val="28"/>
                <w:szCs w:val="28"/>
              </w:rPr>
            </w:r>
          </w:p>
          <w:p>
            <w:pPr>
              <w:spacing w:after="0" w:line="240" w:lineRule="auto"/>
              <w:jc w:val="both"/>
              <w:rPr>
                <w:rFonts w:ascii="Liberation Serif" w:hAnsi="Liberation Serif" w:eastAsia="Times New Roman" w:cs="Liberation Serif"/>
                <w:sz w:val="26"/>
                <w:szCs w:val="26"/>
              </w:rPr>
            </w:pPr>
            <w:r>
              <w:rPr>
                <w:rFonts w:ascii="Liberation Serif" w:hAnsi="Liberation Serif" w:eastAsia="Times New Roman" w:cs="Liberation Serif"/>
                <w:sz w:val="26"/>
                <w:szCs w:val="26"/>
              </w:rPr>
            </w:r>
            <w:r>
              <w:rPr>
                <w:rFonts w:ascii="Liberation Serif" w:hAnsi="Liberation Serif" w:eastAsia="Times New Roman" w:cs="Liberation Serif"/>
                <w:sz w:val="26"/>
                <w:szCs w:val="26"/>
              </w:rPr>
            </w:r>
          </w:p>
        </w:tc>
        <w:tc>
          <w:tcPr>
            <w:tcW w:w="5577" w:type="dxa"/>
            <w:shd w:val="clear" w:color="auto" w:fill="auto"/>
            <w:noWrap w:val="false"/>
            <w:textDirection w:val="lrTb"/>
          </w:tcPr>
          <w:p>
            <w:pPr>
              <w:spacing w:after="0" w:line="240" w:lineRule="auto"/>
              <w:ind w:left="1417" w:right="11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Генеральному д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иректору</w:t>
            </w:r>
            <w:r>
              <w:rPr>
                <w:rFonts w:ascii="Liberation Serif" w:hAnsi="Liberation Serif" w:cs="Liberation Serif"/>
                <w:sz w:val="28"/>
                <w:szCs w:val="28"/>
              </w:rPr>
            </w:r>
          </w:p>
          <w:p>
            <w:pPr>
              <w:spacing w:after="0" w:line="240" w:lineRule="auto"/>
              <w:ind w:left="1417" w:right="116"/>
              <w:rPr>
                <w:rFonts w:ascii="Liberation Serif" w:hAnsi="Liberation Serif" w:cs="Liberation Serif"/>
                <w:sz w:val="28"/>
                <w:szCs w:val="28"/>
              </w:rPr>
            </w:pPr>
            <w:bookmarkStart w:id="0" w:name="_Hlk199344195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ПАО «Тамбовская энергосбытовая компания»</w:t>
            </w:r>
            <w:bookmarkEnd w:id="0"/>
            <w:r>
              <w:rPr>
                <w:rFonts w:ascii="Liberation Serif" w:hAnsi="Liberation Serif" w:cs="Liberation Serif"/>
                <w:sz w:val="28"/>
                <w:szCs w:val="28"/>
              </w:rPr>
            </w:r>
          </w:p>
          <w:p>
            <w:pPr>
              <w:spacing w:after="0" w:line="240" w:lineRule="auto"/>
              <w:ind w:left="1417" w:right="11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sz w:val="28"/>
                <w:szCs w:val="28"/>
              </w:rPr>
            </w:r>
          </w:p>
          <w:p>
            <w:pPr>
              <w:spacing w:after="0" w:line="240" w:lineRule="auto"/>
              <w:ind w:left="1417" w:right="116"/>
              <w:rPr>
                <w:rFonts w:ascii="Liberation Serif" w:hAnsi="Liberation Serif" w:eastAsia="Times New Roman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А.С. Мурзину</w:t>
            </w:r>
            <w:r>
              <w:rPr>
                <w:rFonts w:ascii="Liberation Serif" w:hAnsi="Liberation Serif" w:eastAsia="Times New Roman" w:cs="Liberation Serif"/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right="4393"/>
        <w:contextualSpacing/>
        <w:jc w:val="both"/>
        <w:rPr>
          <w:rFonts w:ascii="Liberation Serif" w:hAnsi="Liberation Serif" w:eastAsia="Times New Roman" w:cs="Liberation Serif"/>
          <w:sz w:val="24"/>
          <w:szCs w:val="24"/>
        </w:rPr>
      </w:pPr>
      <w:r>
        <w:rPr>
          <w:rFonts w:ascii="Liberation Serif" w:hAnsi="Liberation Serif" w:eastAsia="Times New Roman" w:cs="Liberation Serif"/>
          <w:sz w:val="24"/>
          <w:szCs w:val="24"/>
        </w:rPr>
      </w:r>
      <w:r>
        <w:rPr>
          <w:rFonts w:ascii="Liberation Serif" w:hAnsi="Liberation Serif" w:eastAsia="Times New Roman" w:cs="Liberation Serif"/>
          <w:sz w:val="24"/>
          <w:szCs w:val="24"/>
        </w:rPr>
      </w:r>
    </w:p>
    <w:p>
      <w:pPr>
        <w:spacing w:after="0" w:line="240" w:lineRule="auto"/>
        <w:ind w:right="4393"/>
        <w:contextualSpacing/>
        <w:jc w:val="both"/>
        <w:rPr>
          <w:rFonts w:ascii="Liberation Serif" w:hAnsi="Liberation Serif" w:eastAsia="Times New Roman" w:cs="Liberation Serif"/>
          <w:sz w:val="24"/>
          <w:szCs w:val="24"/>
        </w:rPr>
      </w:pPr>
      <w:r>
        <w:rPr>
          <w:rFonts w:ascii="Liberation Serif" w:hAnsi="Liberation Serif" w:eastAsia="Times New Roman" w:cs="Liberation Serif"/>
          <w:sz w:val="24"/>
          <w:szCs w:val="24"/>
        </w:rPr>
        <w:t xml:space="preserve">О направлении коммерческого предложения </w:t>
      </w:r>
      <w:r>
        <w:rPr>
          <w:rFonts w:ascii="Liberation Serif" w:hAnsi="Liberation Serif" w:eastAsia="Times New Roman" w:cs="Liberation Serif"/>
          <w:sz w:val="24"/>
          <w:szCs w:val="24"/>
        </w:rPr>
      </w:r>
    </w:p>
    <w:p>
      <w:pPr>
        <w:spacing w:after="0" w:line="240" w:lineRule="auto"/>
        <w:contextualSpacing/>
        <w:jc w:val="both"/>
        <w:rPr>
          <w:rFonts w:ascii="Liberation Serif" w:hAnsi="Liberation Serif" w:eastAsia="Times New Roman" w:cs="Liberation Serif"/>
          <w:sz w:val="24"/>
          <w:szCs w:val="24"/>
        </w:rPr>
      </w:pPr>
      <w:r>
        <w:rPr>
          <w:rFonts w:ascii="Liberation Serif" w:hAnsi="Liberation Serif" w:eastAsia="Times New Roman" w:cs="Liberation Serif"/>
          <w:sz w:val="24"/>
          <w:szCs w:val="24"/>
        </w:rPr>
      </w:r>
      <w:r>
        <w:rPr>
          <w:rFonts w:ascii="Liberation Serif" w:hAnsi="Liberation Serif" w:eastAsia="Times New Roman" w:cs="Liberation Serif"/>
          <w:sz w:val="24"/>
          <w:szCs w:val="24"/>
        </w:rPr>
      </w:r>
    </w:p>
    <w:p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  <w:sz w:val="28"/>
          <w:szCs w:val="28"/>
        </w:rPr>
      </w:r>
    </w:p>
    <w:p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Уважа</w:t>
      </w:r>
      <w:r>
        <w:rPr>
          <w:rFonts w:ascii="Liberation Serif" w:hAnsi="Liberation Serif" w:cs="Liberation Serif"/>
          <w:sz w:val="28"/>
          <w:szCs w:val="28"/>
        </w:rPr>
        <w:t xml:space="preserve">е</w:t>
      </w:r>
      <w:r>
        <w:rPr>
          <w:rFonts w:ascii="Liberation Serif" w:hAnsi="Liberation Serif" w:cs="Liberation Serif"/>
          <w:sz w:val="28"/>
          <w:szCs w:val="28"/>
        </w:rPr>
        <w:t xml:space="preserve">м</w:t>
      </w:r>
      <w:r>
        <w:rPr>
          <w:rFonts w:ascii="Liberation Serif" w:hAnsi="Liberation Serif" w:cs="Liberation Serif"/>
          <w:sz w:val="28"/>
          <w:szCs w:val="28"/>
        </w:rPr>
        <w:t xml:space="preserve">ый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Александр Сергеевич</w:t>
      </w:r>
      <w:r>
        <w:rPr>
          <w:rFonts w:ascii="Liberation Serif" w:hAnsi="Liberation Serif" w:cs="Liberation Serif"/>
          <w:sz w:val="28"/>
          <w:szCs w:val="28"/>
        </w:rPr>
        <w:t xml:space="preserve">!</w:t>
      </w:r>
      <w:r>
        <w:rPr>
          <w:rFonts w:ascii="Liberation Serif" w:hAnsi="Liberation Serif" w:cs="Liberation Serif"/>
          <w:sz w:val="28"/>
          <w:szCs w:val="28"/>
        </w:rPr>
      </w:r>
    </w:p>
    <w:p>
      <w:pPr>
        <w:spacing w:after="0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Направляем Вам технико-коммерческ</w:t>
      </w:r>
      <w:r>
        <w:rPr>
          <w:rFonts w:ascii="Liberation Serif" w:hAnsi="Liberation Serif" w:cs="Liberation Serif"/>
          <w:sz w:val="27"/>
          <w:szCs w:val="27"/>
        </w:rPr>
        <w:t xml:space="preserve">ое</w:t>
      </w:r>
      <w:r>
        <w:rPr>
          <w:rFonts w:ascii="Liberation Serif" w:hAnsi="Liberation Serif" w:cs="Liberation Serif"/>
          <w:sz w:val="27"/>
          <w:szCs w:val="27"/>
        </w:rPr>
        <w:t xml:space="preserve"> предложени</w:t>
      </w:r>
      <w:r>
        <w:rPr>
          <w:rFonts w:ascii="Liberation Serif" w:hAnsi="Liberation Serif" w:cs="Liberation Serif"/>
          <w:sz w:val="27"/>
          <w:szCs w:val="27"/>
        </w:rPr>
        <w:t xml:space="preserve">е</w:t>
      </w:r>
      <w:r>
        <w:rPr>
          <w:rFonts w:ascii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hAnsi="Liberation Serif" w:cs="Liberation Serif"/>
          <w:sz w:val="27"/>
          <w:szCs w:val="27"/>
        </w:rPr>
        <w:t xml:space="preserve">на предоставление права использования результата интеллектуальной деятельности (РИД) – программы ЭВМ: «Информационная система управления проектами и инвестиционными программами «ИНВЕСТА»</w:t>
      </w:r>
      <w:r>
        <w:rPr>
          <w:rFonts w:ascii="Liberation Serif" w:hAnsi="Liberation Serif" w:cs="Liberation Serif"/>
          <w:sz w:val="27"/>
          <w:szCs w:val="27"/>
        </w:rPr>
        <w:t xml:space="preserve">.</w:t>
      </w:r>
      <w:r>
        <w:rPr>
          <w:rFonts w:ascii="Liberation Serif" w:hAnsi="Liberation Serif" w:cs="Liberation Serif"/>
          <w:sz w:val="27"/>
          <w:szCs w:val="27"/>
        </w:rPr>
      </w:r>
    </w:p>
    <w:p>
      <w:pPr>
        <w:spacing w:after="0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Выражаем готовность к обсуждению требований и пожеланий в части настоя</w:t>
      </w:r>
      <w:r>
        <w:rPr>
          <w:rFonts w:ascii="Liberation Serif" w:hAnsi="Liberation Serif" w:cs="Liberation Serif"/>
          <w:sz w:val="27"/>
          <w:szCs w:val="27"/>
        </w:rPr>
        <w:t xml:space="preserve">щего</w:t>
      </w:r>
      <w:r>
        <w:rPr>
          <w:rFonts w:ascii="Liberation Serif" w:hAnsi="Liberation Serif" w:cs="Liberation Serif"/>
          <w:sz w:val="27"/>
          <w:szCs w:val="27"/>
        </w:rPr>
        <w:t xml:space="preserve"> технико-коммерческ</w:t>
      </w:r>
      <w:r>
        <w:rPr>
          <w:rFonts w:ascii="Liberation Serif" w:hAnsi="Liberation Serif" w:cs="Liberation Serif"/>
          <w:sz w:val="27"/>
          <w:szCs w:val="27"/>
        </w:rPr>
        <w:t xml:space="preserve">ого</w:t>
      </w:r>
      <w:r>
        <w:rPr>
          <w:rFonts w:ascii="Liberation Serif" w:hAnsi="Liberation Serif" w:cs="Liberation Serif"/>
          <w:sz w:val="27"/>
          <w:szCs w:val="27"/>
        </w:rPr>
        <w:t xml:space="preserve"> предложени</w:t>
      </w:r>
      <w:r>
        <w:rPr>
          <w:rFonts w:ascii="Liberation Serif" w:hAnsi="Liberation Serif" w:cs="Liberation Serif"/>
          <w:sz w:val="27"/>
          <w:szCs w:val="27"/>
        </w:rPr>
        <w:t xml:space="preserve">я</w:t>
      </w:r>
      <w:r>
        <w:rPr>
          <w:rFonts w:ascii="Liberation Serif" w:hAnsi="Liberation Serif" w:cs="Liberation Serif"/>
          <w:sz w:val="27"/>
          <w:szCs w:val="27"/>
        </w:rPr>
        <w:t xml:space="preserve">.</w:t>
      </w:r>
      <w:r>
        <w:rPr>
          <w:rFonts w:ascii="Liberation Serif" w:hAnsi="Liberation Serif" w:cs="Liberation Serif"/>
          <w:sz w:val="27"/>
          <w:szCs w:val="27"/>
        </w:rPr>
      </w:r>
    </w:p>
    <w:p>
      <w:pPr>
        <w:spacing w:after="0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</w:r>
      <w:r>
        <w:rPr>
          <w:rFonts w:ascii="Liberation Serif" w:hAnsi="Liberation Serif" w:cs="Liberation Serif"/>
          <w:sz w:val="27"/>
          <w:szCs w:val="27"/>
        </w:rPr>
      </w:r>
    </w:p>
    <w:p>
      <w:pPr>
        <w:spacing w:after="0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</w:r>
      <w:r>
        <w:rPr>
          <w:rFonts w:ascii="Liberation Serif" w:hAnsi="Liberation Serif" w:cs="Liberation Serif"/>
          <w:sz w:val="27"/>
          <w:szCs w:val="27"/>
        </w:rPr>
      </w:r>
    </w:p>
    <w:p>
      <w:pPr>
        <w:spacing w:after="0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Генеральный директор               </w:t>
      </w:r>
      <w:r>
        <w:rPr>
          <w:rFonts w:ascii="Liberation Serif" w:hAnsi="Liberation Serif" w:cs="Liberation Serif"/>
          <w:sz w:val="27"/>
          <w:szCs w:val="27"/>
        </w:rPr>
        <w:tab/>
        <w:t xml:space="preserve">                                               Д.Е. Савенков</w:t>
      </w:r>
      <w:r>
        <w:rPr>
          <w:rFonts w:ascii="Liberation Serif" w:hAnsi="Liberation Serif" w:cs="Liberation Serif"/>
          <w:sz w:val="27"/>
          <w:szCs w:val="27"/>
        </w:rPr>
      </w:r>
    </w:p>
    <w:p>
      <w:pPr>
        <w:spacing w:after="0"/>
        <w:rPr>
          <w:rFonts w:ascii="Liberation Serif" w:hAnsi="Liberation Serif" w:eastAsia="Times New Roman" w:cs="Liberation Serif"/>
          <w:sz w:val="16"/>
          <w:szCs w:val="24"/>
        </w:rPr>
      </w:pPr>
      <w:r>
        <w:rPr>
          <w:rFonts w:ascii="Liberation Serif" w:hAnsi="Liberation Serif" w:eastAsia="Times New Roman" w:cs="Liberation Serif"/>
          <w:sz w:val="16"/>
          <w:szCs w:val="24"/>
        </w:rPr>
      </w:r>
      <w:r>
        <w:rPr>
          <w:rFonts w:ascii="Liberation Serif" w:hAnsi="Liberation Serif" w:eastAsia="Times New Roman" w:cs="Liberation Serif"/>
          <w:sz w:val="16"/>
          <w:szCs w:val="24"/>
        </w:rPr>
      </w:r>
    </w:p>
    <w:p>
      <w:pPr>
        <w:spacing w:after="0"/>
        <w:rPr>
          <w:rFonts w:ascii="Liberation Serif" w:hAnsi="Liberation Serif" w:eastAsia="Times New Roman" w:cs="Liberation Serif"/>
          <w:sz w:val="16"/>
          <w:szCs w:val="24"/>
        </w:rPr>
      </w:pPr>
      <w:r>
        <w:rPr>
          <w:rFonts w:ascii="Liberation Serif" w:hAnsi="Liberation Serif" w:eastAsia="Times New Roman" w:cs="Liberation Serif"/>
          <w:sz w:val="16"/>
          <w:szCs w:val="24"/>
        </w:rPr>
      </w:r>
      <w:r>
        <w:rPr>
          <w:rFonts w:ascii="Liberation Serif" w:hAnsi="Liberation Serif" w:eastAsia="Times New Roman" w:cs="Liberation Serif"/>
          <w:sz w:val="16"/>
          <w:szCs w:val="24"/>
        </w:rPr>
      </w:r>
    </w:p>
    <w:p>
      <w:pPr>
        <w:spacing w:after="0"/>
        <w:rPr>
          <w:rFonts w:ascii="Liberation Serif" w:hAnsi="Liberation Serif" w:eastAsia="Times New Roman" w:cs="Liberation Serif"/>
          <w:sz w:val="16"/>
          <w:szCs w:val="24"/>
        </w:rPr>
      </w:pPr>
      <w:r>
        <w:rPr>
          <w:rFonts w:ascii="Liberation Serif" w:hAnsi="Liberation Serif" w:eastAsia="Times New Roman" w:cs="Liberation Serif"/>
          <w:sz w:val="16"/>
          <w:szCs w:val="24"/>
        </w:rPr>
      </w:r>
      <w:r>
        <w:rPr>
          <w:rFonts w:ascii="Liberation Serif" w:hAnsi="Liberation Serif" w:eastAsia="Times New Roman" w:cs="Liberation Serif"/>
          <w:sz w:val="16"/>
          <w:szCs w:val="24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  <w:t xml:space="preserve">Каримова</w:t>
      </w:r>
      <w:r>
        <w:rPr>
          <w:rFonts w:ascii="Liberation Serif" w:hAnsi="Liberation Serif" w:eastAsia="Times New Roman" w:cs="Liberation Serif"/>
        </w:rPr>
        <w:t xml:space="preserve"> </w:t>
      </w:r>
      <w:r>
        <w:rPr>
          <w:rFonts w:ascii="Liberation Serif" w:hAnsi="Liberation Serif" w:eastAsia="Times New Roman" w:cs="Liberation Serif"/>
        </w:rPr>
        <w:t xml:space="preserve">В</w:t>
      </w:r>
      <w:r>
        <w:rPr>
          <w:rFonts w:ascii="Liberation Serif" w:hAnsi="Liberation Serif" w:eastAsia="Times New Roman" w:cs="Liberation Serif"/>
        </w:rPr>
        <w:t xml:space="preserve">.С.</w:t>
      </w:r>
      <w:r>
        <w:rPr>
          <w:rFonts w:ascii="Liberation Serif" w:hAnsi="Liberation Serif" w:eastAsia="Times New Roman" w:cs="Liberation Serif"/>
        </w:rPr>
      </w:r>
    </w:p>
    <w:p>
      <w:pPr>
        <w:spacing w:after="0"/>
        <w:rPr>
          <w:rFonts w:ascii="Liberation Serif" w:hAnsi="Liberation Serif" w:eastAsia="Times New Roman" w:cs="Liberation Serif"/>
        </w:rPr>
      </w:pPr>
      <w:r>
        <w:rPr>
          <w:rFonts w:ascii="Liberation Serif" w:hAnsi="Liberation Serif" w:eastAsia="Times New Roman" w:cs="Liberation Serif"/>
        </w:rPr>
        <w:t xml:space="preserve">+7 (495) 664-88-40 (3566)</w:t>
      </w:r>
      <w:r>
        <w:rPr>
          <w:rFonts w:ascii="Liberation Serif" w:hAnsi="Liberation Serif" w:eastAsia="Times New Roman" w:cs="Liberation Serif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60" w:line="25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60" w:line="25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tabs>
          <w:tab w:val="left" w:pos="1958" w:leader="none"/>
        </w:tabs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left="567"/>
        <w:jc w:val="center"/>
        <w:rPr>
          <w:rFonts w:ascii="Times New Roman" w:hAnsi="Times New Roman" w:eastAsia="Times New Roman" w:cs="Times New Roman"/>
          <w:b/>
          <w:bCs/>
          <w:color w:val="auto"/>
          <w:sz w:val="42"/>
          <w:szCs w:val="42"/>
        </w:rPr>
      </w:pPr>
      <w:r>
        <w:rPr>
          <w:rFonts w:ascii="Times New Roman" w:hAnsi="Times New Roman"/>
          <w:b/>
          <w:bCs/>
          <w:color w:val="auto"/>
          <w:sz w:val="42"/>
          <w:szCs w:val="42"/>
        </w:rPr>
        <w:t xml:space="preserve">Технико-коммерческое предложение</w:t>
      </w:r>
      <w:r>
        <w:rPr>
          <w:rFonts w:ascii="Times New Roman" w:hAnsi="Times New Roman" w:eastAsia="Times New Roman" w:cs="Times New Roman"/>
          <w:b/>
          <w:bCs/>
          <w:color w:val="auto"/>
          <w:sz w:val="42"/>
          <w:szCs w:val="42"/>
        </w:rPr>
      </w:r>
    </w:p>
    <w:p>
      <w:pPr>
        <w:pBdr>
          <w:top w:val="single" w:color="000000" w:sz="4" w:space="0"/>
          <w:bottom w:val="single" w:color="000000" w:sz="4" w:space="0"/>
        </w:pBdr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1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51659264;mso-wrap-distance-left:0.00pt;mso-wrap-distance-top:0.00pt;mso-wrap-distance-right:0.00pt;mso-wrap-distance-bottom:0.00pt;visibility:visible;" from="1.5pt,8.4pt" to="470.3pt,8.4pt" filled="f" strokecolor="#4A7EBB" strokeweight="2.25pt">
                <v:stroke dashstyle="solid"/>
              </v:line>
            </w:pict>
          </mc:Fallback>
        </mc:AlternateContent>
      </w:r>
      <w:r>
        <w:rPr>
          <w:rFonts w:ascii="Times New Roman" w:hAnsi="Times New Roman" w:eastAsia="Times New Roman" w:cs="Times New Roman"/>
          <w:color w:val="auto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32"/>
          <w:szCs w:val="32"/>
        </w:rPr>
      </w:pPr>
      <w:bookmarkStart w:id="1" w:name="_Hlk199258066"/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на предоставление права использования результата интеллектуальной деятельности (РИД) – программы ЭВМ: «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Информационная система управления проектами и инвестиционными программами 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«ИНВЕСТА»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» </w:t>
      </w:r>
      <w:bookmarkEnd w:id="1"/>
      <w:r>
        <w:rPr>
          <w:rFonts w:ascii="Times New Roman" w:hAnsi="Times New Roman"/>
          <w:b/>
          <w:bCs/>
          <w:color w:val="auto"/>
          <w:sz w:val="32"/>
          <w:szCs w:val="32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для 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 xml:space="preserve">ПАО «Тамбовская энергосбытовая компания»</w:t>
      </w:r>
      <w:r>
        <w:rPr>
          <w:rFonts w:ascii="Times New Roman" w:hAnsi="Times New Roman"/>
          <w:b/>
          <w:bCs/>
          <w:color w:val="auto"/>
          <w:sz w:val="32"/>
          <w:szCs w:val="32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line">
                  <wp:posOffset>331608</wp:posOffset>
                </wp:positionV>
                <wp:extent cx="1909267" cy="0"/>
                <wp:effectExtent l="0" t="19050" r="34290" b="19050"/>
                <wp:wrapNone/>
                <wp:docPr id="2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60288;mso-wrap-distance-left:0.00pt;mso-wrap-distance-top:0.00pt;mso-wrap-distance-right:0.00pt;mso-wrap-distance-bottom:0.00pt;visibility:visible;" from="0.0pt,26.1pt" to="150.3pt,26.1pt" filled="f" strokecolor="#4A7EBB" strokeweight="2.25pt">
                <v:stroke dashstyle="solid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8"/>
          <w:szCs w:val="28"/>
        </w:rPr>
        <w:t xml:space="preserve">20</w:t>
      </w:r>
      <w:r>
        <w:rPr>
          <w:rFonts w:ascii="Times New Roman" w:hAnsi="Times New Roman"/>
          <w:b/>
          <w:bCs/>
          <w:sz w:val="28"/>
          <w:szCs w:val="28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before="120" w:after="120"/>
        <w:rPr>
          <w:rFonts w:ascii="Times New Roman" w:hAnsi="Times New Roman" w:eastAsia="Times New Roman" w:cs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ООО «Интер РАО - ИТ»</w:t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749"/>
        <w:jc w:val="center"/>
        <w:rPr>
          <w:b/>
          <w:bCs/>
          <w:i/>
          <w:iCs/>
          <w:color w:val="365f91"/>
        </w:rPr>
      </w:pPr>
      <w:r>
        <w:rPr>
          <w:b/>
          <w:bCs/>
          <w:i/>
          <w:iCs/>
          <w:color w:val="365f91"/>
        </w:rPr>
        <w:t xml:space="preserve">г. Москва, 20</w:t>
      </w:r>
      <w:r>
        <w:rPr>
          <w:b/>
          <w:bCs/>
          <w:i/>
          <w:iCs/>
          <w:color w:val="365f91"/>
        </w:rPr>
        <w:t xml:space="preserve">2</w:t>
      </w:r>
      <w:r>
        <w:rPr>
          <w:b/>
          <w:bCs/>
          <w:i/>
          <w:iCs/>
          <w:color w:val="365f91"/>
        </w:rPr>
        <w:t xml:space="preserve">5</w:t>
      </w:r>
      <w:r>
        <w:rPr>
          <w:b/>
          <w:bCs/>
          <w:i/>
          <w:iCs/>
          <w:color w:val="365f91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before="120" w:after="12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2" w:name="_Ref352774167"/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Компания ООО «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Интер РАО - ИТ» высоко ценит возможность предоставления прав использования программы ЭВМ «Информационная система управления проектами и инвестиционными программами «ИНВЕСТА»» (далее Система) и выражает признательность за изучение подготовленного материала.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120" w:after="12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Качественное предоставление широкого спектра услуг доступа к ИТ-системам является приоритетным направлением деятельности ООО «Интер РАО - ИТ».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Срок действия настоящего технико-коммерческого предложения – до 30.11.2025.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keepNext/>
        <w:keepLines/>
        <w:numPr>
          <w:numId w:val="9"/>
          <w:ilvl w:val="0"/>
        </w:numPr>
        <w:spacing w:before="200" w:after="24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ФИНАНСОВЫЕ УСЛОВИЯ РЕАЛИЗАЦИИ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spacing w:before="120" w:after="12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Компания ООО «Интер РАО - ИТ» предлагает заключение лицензионного договора на предоставление неисключительного права использования программы для ЭВМ «Информационная система управления проектами и инвестиционными программами «ИНВЕСТА»» на срок 36 месяцев.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120" w:after="12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Размер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Лицензионного вознаграждения за предоставление права использования программы ЭВМ «Информационная система управления проектами и инвестиционными программами «ИНВЕСТА»» для одного пользователя составляет 95 153,53 рублей, НДС не облагается в соответствии с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пп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. 26 п. 2 ст. 149 НК РФ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</w:rPr>
        <w:footnoteReference w:id="2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120" w:after="12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Дополнительно информируем о стоимости лицензий Системы (Таблица 1).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240" w:after="0"/>
        <w:jc w:val="righ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Таблица </w:t>
      </w:r>
      <w:r>
        <w:rPr>
          <w:rFonts w:ascii="Times New Roman" w:hAnsi="Times New Roman"/>
          <w:szCs w:val="20"/>
        </w:rPr>
        <w:t xml:space="preserve">1</w:t>
      </w:r>
      <w:r>
        <w:rPr>
          <w:rFonts w:ascii="Times New Roman" w:hAnsi="Times New Roman"/>
          <w:szCs w:val="20"/>
        </w:rPr>
        <w:t xml:space="preserve">. </w:t>
      </w:r>
      <w:r>
        <w:rPr>
          <w:rFonts w:ascii="Times New Roman" w:hAnsi="Times New Roman"/>
          <w:szCs w:val="20"/>
        </w:rPr>
        <w:t xml:space="preserve">Расшифровка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размера лицензионного </w:t>
      </w:r>
      <w:r>
        <w:rPr>
          <w:rFonts w:ascii="Times New Roman" w:hAnsi="Times New Roman"/>
          <w:szCs w:val="20"/>
        </w:rPr>
        <w:t xml:space="preserve">вознаграж</w:t>
      </w:r>
      <w:r>
        <w:rPr>
          <w:rFonts w:ascii="Times New Roman" w:hAnsi="Times New Roman"/>
          <w:szCs w:val="20"/>
        </w:rPr>
        <w:t xml:space="preserve">дения</w:t>
      </w:r>
      <w:r>
        <w:rPr>
          <w:rFonts w:ascii="Times New Roman" w:hAnsi="Times New Roman"/>
          <w:szCs w:val="20"/>
        </w:rPr>
      </w:r>
    </w:p>
    <w:tbl>
      <w:tblPr>
        <w:tblStyle w:val="76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704"/>
        <w:gridCol w:w="1691"/>
        <w:gridCol w:w="1408"/>
        <w:gridCol w:w="1425"/>
        <w:gridCol w:w="1973"/>
      </w:tblGrid>
      <w:tr>
        <w:trPr>
          <w:trHeight w:val="1532"/>
        </w:trPr>
        <w:tblPrEx/>
        <w:tc>
          <w:tcPr>
            <w:tcW w:w="562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№</w:t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tcW w:w="2704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Наименование</w:t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tcW w:w="1691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Срок действия лицензий</w:t>
            </w:r>
            <w:r>
              <w:rPr>
                <w:rFonts w:eastAsia="Times New Roman"/>
                <w:b/>
              </w:rPr>
            </w:r>
          </w:p>
        </w:tc>
        <w:tc>
          <w:tcPr>
            <w:tcW w:w="1408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Размер Лицензионного вознаграждения </w:t>
            </w:r>
            <w:r>
              <w:rPr>
                <w:rFonts w:eastAsia="Times New Roman"/>
                <w:b/>
              </w:rPr>
              <w:t xml:space="preserve">за 1 лицензию </w:t>
            </w:r>
            <w:r>
              <w:rPr>
                <w:rFonts w:eastAsia="Times New Roman"/>
                <w:b/>
              </w:rPr>
              <w:t xml:space="preserve">(руб., НДС не облагается)</w:t>
            </w:r>
            <w:r>
              <w:rPr>
                <w:rFonts w:eastAsia="Times New Roman"/>
                <w:b/>
              </w:rPr>
            </w:r>
          </w:p>
        </w:tc>
        <w:tc>
          <w:tcPr>
            <w:tcW w:w="1425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Количество лицензий</w:t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tcW w:w="1973" w:type="dxa"/>
            <w:shd w:val="clear" w:color="auto" w:fill="d9d9d9" w:themeFill="background1" w:themeFillShade="D9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Times New Roman"/>
                <w:b/>
              </w:rPr>
              <w:t xml:space="preserve">Размер Лицензионного вознаграждения </w:t>
            </w:r>
            <w:r>
              <w:rPr>
                <w:rFonts w:eastAsia="Times New Roman"/>
                <w:b/>
              </w:rPr>
              <w:t xml:space="preserve">(руб., НДС не облагается)</w:t>
            </w:r>
            <w:r>
              <w:rPr>
                <w:rFonts w:eastAsia="Calibri"/>
                <w:b/>
                <w:bCs/>
              </w:rPr>
            </w:r>
          </w:p>
        </w:tc>
      </w:tr>
      <w:tr>
        <w:trPr>
          <w:trHeight w:val="1941"/>
        </w:trPr>
        <w:tblPrEx/>
        <w:tc>
          <w:tcPr>
            <w:tcW w:w="562" w:type="dxa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240"/>
              <w:ind w:left="0"/>
              <w:jc w:val="center"/>
              <w:rPr>
                <w:rFonts w:eastAsia="Calibri"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</w:rPr>
              <w:t xml:space="preserve">1</w:t>
            </w:r>
            <w:r>
              <w:rPr>
                <w:rFonts w:eastAsia="Calibri"/>
                <w:b/>
                <w:bCs/>
                <w:color w:val="auto"/>
              </w:rPr>
            </w:r>
          </w:p>
        </w:tc>
        <w:tc>
          <w:tcPr>
            <w:tcW w:w="2704" w:type="dxa"/>
            <w:shd w:val="clear" w:color="auto" w:fill="auto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Программа ЭВМ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«</w:t>
            </w:r>
            <w:r>
              <w:rPr>
                <w:color w:val="auto"/>
                <w:sz w:val="22"/>
                <w:szCs w:val="22"/>
              </w:rPr>
              <w:t xml:space="preserve">Информационная система управления проектами и инвестиционными программами «ИНВЕСТА</w:t>
            </w:r>
            <w:r>
              <w:rPr>
                <w:color w:val="auto"/>
                <w:sz w:val="22"/>
                <w:szCs w:val="22"/>
              </w:rPr>
              <w:t xml:space="preserve">»</w:t>
            </w:r>
            <w:r>
              <w:rPr>
                <w:color w:val="auto"/>
                <w:sz w:val="22"/>
                <w:szCs w:val="22"/>
              </w:rPr>
              <w:t xml:space="preserve">»</w:t>
            </w:r>
            <w:r>
              <w:rPr>
                <w:rFonts w:eastAsia="Times New Roman"/>
                <w:color w:val="auto"/>
                <w:sz w:val="22"/>
                <w:szCs w:val="22"/>
              </w:rPr>
            </w:r>
          </w:p>
        </w:tc>
        <w:tc>
          <w:tcPr>
            <w:tcW w:w="1691" w:type="dxa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240"/>
              <w:ind w:left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 01.01.202</w:t>
            </w:r>
            <w:r>
              <w:rPr>
                <w:rFonts w:eastAsia="Times New Roman"/>
                <w:sz w:val="22"/>
                <w:szCs w:val="22"/>
              </w:rPr>
              <w:t xml:space="preserve">6</w:t>
            </w:r>
            <w:r>
              <w:rPr>
                <w:rFonts w:eastAsia="Times New Roman"/>
                <w:sz w:val="22"/>
                <w:szCs w:val="22"/>
              </w:rPr>
              <w:t xml:space="preserve"> г.</w:t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759"/>
              <w:widowControl w:val="off"/>
              <w:spacing w:after="240"/>
              <w:ind w:left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</w:t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759"/>
              <w:widowControl w:val="off"/>
              <w:spacing w:after="240"/>
              <w:ind w:left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31.12.202</w:t>
            </w:r>
            <w:r>
              <w:rPr>
                <w:rFonts w:eastAsia="Times New Roman"/>
                <w:sz w:val="22"/>
                <w:szCs w:val="22"/>
              </w:rPr>
              <w:t xml:space="preserve">8</w:t>
            </w:r>
            <w:r>
              <w:rPr>
                <w:rFonts w:eastAsia="Times New Roman"/>
                <w:sz w:val="22"/>
                <w:szCs w:val="22"/>
              </w:rPr>
              <w:t xml:space="preserve"> г.</w:t>
            </w:r>
            <w:r>
              <w:rPr>
                <w:rFonts w:eastAsia="Times New Roman"/>
                <w:sz w:val="22"/>
                <w:szCs w:val="22"/>
              </w:rPr>
            </w:r>
          </w:p>
        </w:tc>
        <w:tc>
          <w:tcPr>
            <w:tcW w:w="1408" w:type="dxa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95 1</w:t>
            </w:r>
            <w:r>
              <w:rPr>
                <w:color w:val="auto"/>
                <w:sz w:val="22"/>
                <w:szCs w:val="22"/>
              </w:rPr>
              <w:t xml:space="preserve">53</w:t>
            </w:r>
            <w:r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 xml:space="preserve">53</w:t>
            </w:r>
            <w:r>
              <w:rPr>
                <w:color w:val="auto"/>
                <w:sz w:val="22"/>
                <w:szCs w:val="22"/>
              </w:rPr>
            </w:r>
          </w:p>
        </w:tc>
        <w:tc>
          <w:tcPr>
            <w:tcW w:w="1425" w:type="dxa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30</w:t>
            </w:r>
            <w:r>
              <w:rPr>
                <w:color w:val="auto"/>
                <w:sz w:val="22"/>
                <w:szCs w:val="22"/>
              </w:rPr>
            </w:r>
          </w:p>
        </w:tc>
        <w:tc>
          <w:tcPr>
            <w:tcW w:w="1973" w:type="dxa"/>
            <w:shd w:val="clear" w:color="auto" w:fill="auto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2 854 605,90   </w:t>
            </w:r>
            <w:r>
              <w:rPr>
                <w:color w:val="auto"/>
                <w:sz w:val="22"/>
                <w:szCs w:val="22"/>
              </w:rPr>
            </w:r>
          </w:p>
        </w:tc>
      </w:tr>
      <w:tr>
        <w:trPr>
          <w:trHeight w:val="521"/>
        </w:trPr>
        <w:tblPrEx/>
        <w:tc>
          <w:tcPr>
            <w:tcW w:w="7790" w:type="dxa"/>
            <w:gridSpan w:val="5"/>
            <w:noWrap w:val="false"/>
            <w:textDirection w:val="lrTb"/>
            <w:vAlign w:val="center"/>
          </w:tcPr>
          <w:p>
            <w:pPr>
              <w:pStyle w:val="759"/>
              <w:widowControl w:val="off"/>
              <w:spacing w:after="0"/>
              <w:ind w:left="0"/>
              <w:jc w:val="right"/>
              <w:rPr>
                <w:rFonts w:eastAsia="Times New Roman"/>
              </w:rPr>
            </w:pPr>
            <w:r>
              <w:rPr>
                <w:rFonts w:eastAsia="Calibri"/>
                <w:b/>
                <w:bCs/>
              </w:rPr>
              <w:t xml:space="preserve">Итого</w:t>
            </w:r>
            <w:r>
              <w:rPr>
                <w:rFonts w:eastAsia="Times New Roman"/>
              </w:rPr>
            </w:r>
          </w:p>
        </w:tc>
        <w:tc>
          <w:tcPr>
            <w:tcW w:w="1973" w:type="dxa"/>
            <w:noWrap w:val="false"/>
            <w:textDirection w:val="lrTb"/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>
              <w:rPr>
                <w:rFonts w:ascii="Times New Roman" w:hAnsi="Times New Roman" w:eastAsia="Arial Unicode MS" w:cs="Arial Unicode MS"/>
                <w:b/>
                <w:color w:val="auto"/>
                <w:sz w:val="22"/>
                <w:szCs w:val="22"/>
              </w:rPr>
              <w:t xml:space="preserve">2 854 605,90   </w:t>
            </w:r>
            <w:r>
              <w:rPr>
                <w:rFonts w:eastAsia="Times New Roman" w:cs="Times New Roman"/>
                <w:b/>
              </w:rPr>
            </w:r>
          </w:p>
        </w:tc>
      </w:tr>
    </w:tbl>
    <w:p>
      <w:pPr>
        <w:widowControl w:val="off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tabs>
          <w:tab w:val="left" w:pos="1276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spacing w:before="240" w:after="0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Условия оплаты:</w:t>
      </w:r>
      <w: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в течение 30 (тридцати) календарных дней с даты подписания Акта приема-передачи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before="240" w:after="0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Ожидаемый срок продажи неисключительных лицензий: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январь 202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6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г.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r>
    </w:p>
    <w:p>
      <w:pPr>
        <w:widowControl w:val="off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tabs>
          <w:tab w:val="left" w:pos="1276" w:leader="none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pStyle w:val="740"/>
        <w:numPr>
          <w:numId w:val="10"/>
          <w:ilvl w:val="0"/>
        </w:numPr>
        <w:spacing w:before="240" w:line="240" w:lineRule="auto"/>
        <w:rPr>
          <w:rFonts w:ascii="Times New Roman" w:hAnsi="Times New Roman" w:eastAsia="Times New Roman" w:cs="Times New Roman"/>
          <w:sz w:val="24"/>
          <w:szCs w:val="24"/>
        </w:rPr>
      </w:pPr>
      <w:bookmarkStart w:id="4" w:name="_Toc1"/>
      <w:r>
        <w:rPr>
          <w:rFonts w:ascii="Times New Roman" w:hAnsi="Times New Roman"/>
          <w:sz w:val="24"/>
          <w:szCs w:val="24"/>
        </w:rPr>
        <w:t xml:space="preserve">ОПИСАНИЕ ПРЕДЛОЖЕНИЯ</w:t>
      </w:r>
      <w:bookmarkEnd w:id="4"/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54"/>
        <w:numPr>
          <w:numId w:val="10"/>
          <w:ilvl w:val="1"/>
        </w:numPr>
        <w:tabs>
          <w:tab w:val="left" w:pos="1440" w:leader="none"/>
        </w:tabs>
        <w:spacing w:before="200" w:after="20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5" w:name="_Toc2"/>
      <w:r>
        <w:rPr>
          <w:rFonts w:ascii="Times New Roman" w:hAnsi="Times New Roman"/>
          <w:color w:val="auto"/>
          <w:sz w:val="24"/>
          <w:szCs w:val="24"/>
        </w:rPr>
        <w:t xml:space="preserve">ЦЕЛИ</w:t>
      </w:r>
      <w:bookmarkEnd w:id="5"/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spacing w:after="60"/>
        <w:ind w:firstLine="57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22"/>
      <w:bookmarkEnd w:id="2"/>
      <w:r>
        <w:rPr>
          <w:rFonts w:ascii="Times New Roman" w:hAnsi="Times New Roman" w:cs="Times New Roman"/>
          <w:color w:val="auto"/>
          <w:sz w:val="24"/>
          <w:szCs w:val="24"/>
        </w:rPr>
        <w:t xml:space="preserve">Основными целями заключения договора на предоставление права использования программы ЭВМ «</w:t>
      </w:r>
      <w:r>
        <w:rPr>
          <w:rFonts w:ascii="Times New Roman" w:hAnsi="Times New Roman"/>
          <w:color w:val="auto"/>
          <w:sz w:val="24"/>
          <w:szCs w:val="24"/>
        </w:rPr>
        <w:t xml:space="preserve">Информационная система управления проектами и инвестиционными программами «ИНВЕСТА»»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являются:</w:t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снижение количества ошибок, в том числе за счет интеграции с ИС, являющимися потребителями информации по ИПКВ и ИПР;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снижение количества рутинных операций по подготовке документов и отчетности;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повышение эффективности управления как отдельными проектами, так и инвестиционной программой в целом;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своевременное обеспечение актуальной информацией лиц, принимающих решения;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повышение оперативности взаимодействия и обеспечение скоординированной работы специалистов структурных подразделений;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обеспечение контроля над исполнением ИПКВ, эффективностью вложения денежных средств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;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28"/>
          <w:ilvl w:val="0"/>
        </w:numPr>
        <w:spacing w:before="0" w:after="60" w:line="240" w:lineRule="auto"/>
        <w:ind w:left="992" w:hanging="425"/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создание единой базы данных по ИПКВ.</w:t>
      </w:r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</w:r>
    </w:p>
    <w:p>
      <w:pPr>
        <w:pStyle w:val="740"/>
        <w:numPr>
          <w:numId w:val="10"/>
          <w:ilvl w:val="0"/>
        </w:numPr>
        <w:spacing w:before="200" w:after="24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7" w:name="_GoBack"/>
      <w:bookmarkEnd w:id="7"/>
      <w:r>
        <w:rPr>
          <w:rFonts w:ascii="Times New Roman" w:hAnsi="Times New Roman" w:eastAsia="Arial Unicode MS" w:cs="Arial Unicode MS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ОГРАНИЧЕНИЯ И ДОПУЩЕНИЯ </w:t>
      </w:r>
      <w:bookmarkEnd w:id="6"/>
      <w:r>
        <w:rPr>
          <w:rFonts w:ascii="Times New Roman" w:hAnsi="Times New Roman" w:eastAsia="Times New Roman" w:cs="Times New Roman"/>
          <w:color w:val="auto"/>
          <w:sz w:val="24"/>
          <w:szCs w:val="24"/>
        </w:rPr>
      </w:r>
    </w:p>
    <w:p>
      <w:pPr>
        <w:pStyle w:val="759"/>
        <w:numPr>
          <w:numId w:val="22"/>
          <w:ilvl w:val="0"/>
        </w:numPr>
        <w:spacing w:after="0"/>
        <w:ind w:left="993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Система </w:t>
      </w:r>
      <w:r>
        <w:rPr>
          <w:color w:val="auto"/>
          <w:sz w:val="24"/>
          <w:szCs w:val="24"/>
        </w:rPr>
        <w:t xml:space="preserve">физически располагается в </w:t>
      </w:r>
      <w:r>
        <w:rPr>
          <w:color w:val="auto"/>
          <w:sz w:val="24"/>
          <w:szCs w:val="24"/>
        </w:rPr>
        <w:t xml:space="preserve">ЦОДе</w:t>
      </w:r>
      <w:r>
        <w:rPr>
          <w:color w:val="auto"/>
          <w:sz w:val="24"/>
          <w:szCs w:val="24"/>
        </w:rPr>
        <w:t xml:space="preserve"> ООО «Интер РАО - ИТ».</w:t>
      </w:r>
      <w:r>
        <w:rPr>
          <w:color w:val="auto"/>
          <w:sz w:val="24"/>
          <w:szCs w:val="24"/>
        </w:rPr>
      </w:r>
    </w:p>
    <w:p>
      <w:pPr>
        <w:pStyle w:val="759"/>
        <w:numPr>
          <w:numId w:val="22"/>
          <w:ilvl w:val="0"/>
        </w:numPr>
        <w:spacing w:after="0"/>
        <w:ind w:left="993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Изменение/доработка функционала </w:t>
      </w:r>
      <w:r>
        <w:rPr>
          <w:color w:val="auto"/>
          <w:sz w:val="24"/>
          <w:szCs w:val="24"/>
        </w:rPr>
        <w:t xml:space="preserve">С</w:t>
      </w:r>
      <w:r>
        <w:rPr>
          <w:color w:val="auto"/>
          <w:sz w:val="24"/>
          <w:szCs w:val="24"/>
        </w:rPr>
        <w:t xml:space="preserve">истемы под требования Заказчика </w:t>
      </w:r>
      <w:r>
        <w:rPr>
          <w:color w:val="auto"/>
          <w:sz w:val="24"/>
          <w:szCs w:val="24"/>
        </w:rPr>
        <w:t xml:space="preserve">не входит в перечень услуг данного предложения и предоставляется заказчику «как есть».</w:t>
      </w:r>
      <w:r>
        <w:rPr>
          <w:color w:val="auto"/>
          <w:sz w:val="24"/>
          <w:szCs w:val="24"/>
        </w:rPr>
      </w:r>
    </w:p>
    <w:p>
      <w:pPr>
        <w:pStyle w:val="759"/>
        <w:numPr>
          <w:numId w:val="22"/>
          <w:ilvl w:val="0"/>
        </w:numPr>
        <w:spacing w:after="0"/>
        <w:ind w:left="993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Лицензиат может реализовать право использования РИД исключительно при наличии доступа к </w:t>
      </w:r>
      <w:r>
        <w:rPr>
          <w:color w:val="auto"/>
          <w:sz w:val="24"/>
          <w:szCs w:val="24"/>
        </w:rPr>
        <w:t xml:space="preserve">С</w:t>
      </w:r>
      <w:r>
        <w:rPr>
          <w:color w:val="auto"/>
          <w:sz w:val="24"/>
          <w:szCs w:val="24"/>
        </w:rPr>
        <w:t xml:space="preserve">истеме.</w:t>
      </w:r>
      <w:r>
        <w:rPr>
          <w:color w:val="auto"/>
          <w:sz w:val="24"/>
          <w:szCs w:val="24"/>
        </w:rPr>
      </w:r>
    </w:p>
    <w:p>
      <w:pPr>
        <w:pStyle w:val="759"/>
        <w:numPr>
          <w:numId w:val="22"/>
          <w:ilvl w:val="0"/>
        </w:numPr>
        <w:spacing w:after="0"/>
        <w:ind w:left="993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РИД не может использоваться для разработки новых приложений, совместно с какими-либо приложениями, базами данных или таблицами, которые не входят в состав</w:t>
      </w:r>
      <w:r>
        <w:rPr>
          <w:color w:val="auto"/>
          <w:sz w:val="24"/>
          <w:szCs w:val="24"/>
        </w:rPr>
        <w:t xml:space="preserve"> Системы</w:t>
      </w:r>
      <w:r>
        <w:rPr>
          <w:color w:val="auto"/>
          <w:sz w:val="24"/>
          <w:szCs w:val="24"/>
        </w:rPr>
        <w:t xml:space="preserve">, и/или в качестве самостоятельного приложения.</w:t>
      </w:r>
      <w:r>
        <w:rPr>
          <w:color w:val="auto"/>
          <w:sz w:val="24"/>
          <w:szCs w:val="24"/>
        </w:rPr>
      </w:r>
    </w:p>
    <w:p>
      <w:pPr>
        <w:pStyle w:val="740"/>
        <w:numPr>
          <w:numId w:val="10"/>
          <w:ilvl w:val="0"/>
        </w:numPr>
        <w:spacing w:before="200" w:after="240" w:line="240" w:lineRule="auto"/>
        <w:rPr>
          <w:rFonts w:ascii="Times New Roman" w:hAnsi="Times New Roman"/>
          <w:sz w:val="24"/>
          <w:szCs w:val="24"/>
        </w:rPr>
      </w:pPr>
      <w:bookmarkStart w:id="8" w:name="_Toc24"/>
      <w:r>
        <w:rPr>
          <w:rFonts w:ascii="Times New Roman" w:hAnsi="Times New Roman"/>
          <w:sz w:val="24"/>
          <w:szCs w:val="24"/>
        </w:rPr>
        <w:t xml:space="preserve">ЗАКЛЮЧИТЕЛЬНЫЕ ПОЛОЖЕНИЯ</w:t>
      </w:r>
      <w:bookmarkEnd w:id="8"/>
      <w:r>
        <w:rPr>
          <w:rFonts w:ascii="Times New Roman" w:hAnsi="Times New Roman"/>
          <w:sz w:val="24"/>
          <w:szCs w:val="24"/>
        </w:rPr>
      </w:r>
    </w:p>
    <w:p>
      <w:pPr>
        <w:pStyle w:val="755"/>
        <w:spacing w:before="120" w:after="12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положения, изложенные в настоящем документе, являются предварительными, и должны обсуждаться сторонами в процессе переговоров.</w:t>
      </w:r>
      <w:r>
        <w:rPr>
          <w:sz w:val="24"/>
          <w:szCs w:val="24"/>
        </w:rPr>
      </w:r>
    </w:p>
    <w:p>
      <w:pPr>
        <w:pStyle w:val="755"/>
        <w:spacing w:before="120" w:after="12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Выражаем готовность к обсуждению требований и пожеланий Заказчика в части настоящего технико-коммерческого предложения.</w:t>
      </w:r>
      <w:r>
        <w:rPr>
          <w:sz w:val="24"/>
          <w:szCs w:val="24"/>
        </w:rPr>
      </w:r>
    </w:p>
    <w:p>
      <w:pPr>
        <w:spacing w:before="120" w:after="120"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tabs>
          <w:tab w:val="right" w:pos="9779" w:leader="none"/>
        </w:tabs>
        <w:spacing w:before="120" w:after="12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Генеральный директор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Савенков Денис Евгеньевич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tabs>
          <w:tab w:val="right" w:pos="9355" w:leader="none"/>
        </w:tabs>
        <w:spacing w:before="120" w:after="12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tabs>
          <w:tab w:val="right" w:pos="9355" w:leader="none"/>
        </w:tabs>
        <w:spacing w:before="120" w:after="120" w:line="240" w:lineRule="auto"/>
      </w:pPr>
    </w:p>
    <w:sectPr>
      <w:footerReference w:type="default" r:id="rId9"/>
      <w:footnotePr/>
      <w:endnotePr/>
      <w:type w:val="nextPage"/>
      <w:pgSz w:w="11900" w:h="16840" w:orient="portrait"/>
      <w:pgMar w:top="1134" w:right="851" w:bottom="1134" w:left="1276" w:header="708" w:footer="708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Cambria">
    <w:panose1 w:val="02040503050406030204"/>
  </w:font>
  <w:font w:name="Helvetica Neue">
    <w:panose1 w:val="02000009000000000000"/>
  </w:font>
  <w:font w:name="Calibri">
    <w:panose1 w:val="020F0502020204030204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  <w:jc w:val="right"/>
    </w:pPr>
    <w:r>
      <w:rPr>
        <w:b/>
        <w:bCs/>
        <w:i/>
        <w:iCs/>
        <w:color w:val="365f91"/>
      </w:rPr>
      <w:fldChar w:fldCharType="begin"/>
    </w:r>
    <w:r>
      <w:rPr>
        <w:b/>
        <w:bCs/>
        <w:i/>
        <w:iCs/>
        <w:color w:val="365f91"/>
      </w:rPr>
      <w:instrText xml:space="preserve"> PAGE </w:instrText>
    </w:r>
    <w:r>
      <w:rPr>
        <w:b/>
        <w:bCs/>
        <w:i/>
        <w:iCs/>
        <w:color w:val="365f91"/>
      </w:rPr>
      <w:fldChar w:fldCharType="separate"/>
    </w:r>
    <w:r>
      <w:rPr>
        <w:b/>
        <w:bCs/>
        <w:i/>
        <w:iCs/>
        <w:color w:val="365f91"/>
      </w:rPr>
      <w:t xml:space="preserve">3</w:t>
    </w:r>
    <w:r>
      <w:rPr>
        <w:b/>
        <w:bCs/>
        <w:i/>
        <w:iCs/>
        <w:color w:val="365f91"/>
      </w:rPr>
      <w:fldChar w:fldCharType="end"/>
    </w:r>
    <w:r>
      <w:rPr>
        <w:b/>
        <w:bCs/>
        <w:i/>
        <w:iCs/>
        <w:color w:val="365f91"/>
      </w:rPr>
      <w:t xml:space="preserve">                                        </w:t>
    </w:r>
    <w:r>
      <w:rPr>
        <w:b/>
        <w:bCs/>
        <w:i/>
        <w:iCs/>
        <w:color w:val="365f91"/>
      </w:rPr>
      <w:tab/>
    </w:r>
    <w:r>
      <w:rPr>
        <w:b/>
        <w:bCs/>
        <w:i/>
        <w:iCs/>
        <w:color w:val="365f91"/>
      </w:rPr>
      <w:tab/>
      <w:t xml:space="preserve">              Технико-коммерческое предложение для</w:t>
    </w:r>
  </w:p>
  <w:p>
    <w:pPr>
      <w:pStyle w:val="749"/>
      <w:jc w:val="right"/>
    </w:pPr>
    <w:r>
      <w:rPr>
        <w:b/>
        <w:bCs/>
        <w:i/>
        <w:iCs/>
        <w:color w:val="365f91"/>
      </w:rPr>
      <w:t xml:space="preserve">ПАО «Тамбовская энергосбытовая компания</w:t>
    </w:r>
    <w:r>
      <w:rPr>
        <w:b/>
        <w:bCs/>
        <w:i/>
        <w:iCs/>
        <w:color w:val="365f91"/>
      </w:rPr>
      <w:t xml:space="preserve">»</w:t>
    </w:r>
    <w:r>
      <w:rPr>
        <w:b/>
        <w:bCs/>
        <w:i/>
        <w:iCs/>
        <w:color w:val="365f91"/>
      </w:rPr>
      <w:t xml:space="preserve">/</w:t>
    </w:r>
    <w:r>
      <w:rPr>
        <w:b/>
        <w:bCs/>
        <w:color w:val="365f91"/>
      </w:rPr>
      <w:t xml:space="preserve">Конфиденциально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2">
    <w:p>
      <w:pPr>
        <w:pStyle w:val="766"/>
        <w:rPr>
          <w:sz w:val="16"/>
        </w:rPr>
      </w:pPr>
      <w:bookmarkStart w:id="3" w:name="_Hlk201672896"/>
      <w:r>
        <w:rPr>
          <w:rStyle w:val="768"/>
        </w:rPr>
        <w:footnoteRef/>
      </w:r>
      <w:r>
        <w:t xml:space="preserve"> </w:t>
      </w:r>
      <w:r>
        <w:rPr>
          <w:color w:val="auto"/>
          <w:szCs w:val="24"/>
        </w:rPr>
        <w:t xml:space="preserve">В</w:t>
      </w:r>
      <w:r>
        <w:rPr>
          <w:color w:val="auto"/>
          <w:szCs w:val="24"/>
        </w:rPr>
        <w:t xml:space="preserve"> случае отсутствия регистрации в реестре российских программ для ЭВМ и баз данных</w:t>
      </w:r>
      <w:r>
        <w:rPr>
          <w:color w:val="auto"/>
          <w:szCs w:val="24"/>
        </w:rPr>
        <w:t xml:space="preserve"> на дату заключения лицензионного договора</w:t>
      </w:r>
      <w:r>
        <w:rPr>
          <w:color w:val="auto"/>
          <w:szCs w:val="24"/>
        </w:rPr>
        <w:t xml:space="preserve">, НДС уплачивается по ставке, установленной законодательством РФ</w:t>
      </w:r>
      <w:bookmarkEnd w:id="3"/>
      <w:r>
        <w:rPr>
          <w:sz w:val="16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numStyleLink w:val="75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numStyleLink w:val="760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multiLevelType w:val="hybridMultilevel"/>
    <w:styleLink w:val="758"/>
    <w:lvl w:ilvl="0">
      <w:start w:val="1"/>
      <w:numFmt w:val="bullet"/>
      <w:pStyle w:val="758"/>
      <w:isLgl w:val="false"/>
      <w:suff w:val="tab"/>
      <w:lvlText w:val="·"/>
      <w:lvlJc w:val="left"/>
      <w:pPr>
        <w:ind w:left="14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28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left" w:pos="1440" w:leader="none"/>
        </w:tabs>
        <w:ind w:left="360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50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left" w:pos="1440" w:leader="none"/>
        </w:tabs>
        <w:ind w:left="576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72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426" w:hanging="426"/>
      </w:pPr>
      <w:rPr>
        <w:rFonts w:hint="default" w:ascii="Symbol" w:hAnsi="Symbol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•"/>
      <w:lvlJc w:val="left"/>
      <w:pPr>
        <w:ind w:left="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•"/>
      <w:lvlJc w:val="left"/>
      <w:pPr>
        <w:ind w:left="1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•"/>
      <w:lvlJc w:val="left"/>
      <w:pPr>
        <w:ind w:left="1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•"/>
      <w:lvlJc w:val="left"/>
      <w:pPr>
        <w:ind w:left="25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•"/>
      <w:lvlJc w:val="left"/>
      <w:pPr>
        <w:ind w:left="31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•"/>
      <w:lvlJc w:val="left"/>
      <w:pPr>
        <w:ind w:left="37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•"/>
      <w:lvlJc w:val="left"/>
      <w:pPr>
        <w:ind w:left="43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•"/>
      <w:lvlJc w:val="left"/>
      <w:pPr>
        <w:ind w:left="4926" w:hanging="1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multiLevelType w:val="hybridMultilevel"/>
    <w:numStyleLink w:val="75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26" w:hanging="426"/>
      </w:pPr>
      <w:rPr>
        <w:rFonts w:hint="default" w:ascii="Arial" w:hAnsi="Arial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multiLevelType w:val="hybridMultilevel"/>
    <w:styleLink w:val="760"/>
    <w:lvl w:ilvl="0">
      <w:start w:val="1"/>
      <w:numFmt w:val="bullet"/>
      <w:pStyle w:val="760"/>
      <w:isLgl w:val="false"/>
      <w:suff w:val="tab"/>
      <w:lvlText w:val="-"/>
      <w:lvlJc w:val="left"/>
      <w:pPr>
        <w:ind w:left="36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ind w:left="10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·"/>
      <w:lvlJc w:val="left"/>
      <w:pPr>
        <w:ind w:left="14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¨"/>
      <w:lvlJc w:val="left"/>
      <w:pPr>
        <w:ind w:left="180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➢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▪"/>
      <w:lvlJc w:val="left"/>
      <w:pPr>
        <w:ind w:left="25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¨"/>
      <w:lvlJc w:val="left"/>
      <w:pPr>
        <w:ind w:left="32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756"/>
    <w:lvl w:ilvl="0">
      <w:start w:val="1"/>
      <w:numFmt w:val="decimal"/>
      <w:pStyle w:val="756"/>
      <w:isLgl w:val="false"/>
      <w:suff w:val="tab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multiLevelType w:val="hybridMultilevel"/>
    <w:numStyleLink w:val="758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779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50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styleLink w:val="757"/>
    <w:lvl w:ilvl="0">
      <w:start w:val="1"/>
      <w:numFmt w:val="bullet"/>
      <w:pStyle w:val="757"/>
      <w:isLgl w:val="false"/>
      <w:suff w:val="tab"/>
      <w:lvlText w:val="·"/>
      <w:lvlJc w:val="left"/>
      <w:pPr>
        <w:ind w:left="14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28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left" w:pos="1440" w:leader="none"/>
        </w:tabs>
        <w:ind w:left="360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50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left" w:pos="1440" w:leader="none"/>
        </w:tabs>
        <w:ind w:left="576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left" w:pos="1440" w:leader="none"/>
        </w:tabs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isLgl w:val="false"/>
      <w:suff w:val="tab"/>
      <w:lvlText w:val="▪"/>
      <w:lvlJc w:val="left"/>
      <w:pPr>
        <w:tabs>
          <w:tab w:val="left" w:pos="1440" w:leader="none"/>
        </w:tabs>
        <w:ind w:left="72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7"/>
    <w:lvlOverride w:ilvl="0">
      <w:startOverride w:val="2"/>
      <w:lvl w:ilvl="0">
        <w:start w:val="2"/>
        <w:numFmt w:val="decimal"/>
        <w:isLgl w:val="false"/>
        <w:suff w:val="tab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3">
    <w:abstractNumId w:val="7"/>
    <w:lvlOverride w:ilvl="0">
      <w:startOverride w:val="1"/>
      <w:lvl w:ilvl="0">
        <w:start w:val="1"/>
        <w:numFmt w:val="decimal"/>
        <w:isLgl w:val="false"/>
        <w:suff w:val="tab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isLgl w:val="false"/>
        <w:suff w:val="tab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4">
    <w:abstractNumId w:val="7"/>
    <w:lvlOverride w:ilvl="0">
      <w:startOverride w:val="1"/>
      <w:lvl w:ilvl="0">
        <w:start w:val="1"/>
        <w:numFmt w:val="decimal"/>
        <w:isLgl w:val="false"/>
        <w:suff w:val="tab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isLgl w:val="false"/>
        <w:suff w:val="tab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5">
    <w:abstractNumId w:val="7"/>
    <w:lvlOverride w:ilvl="0">
      <w:startOverride w:val="3"/>
    </w:lvlOverride>
  </w:num>
  <w:num w:numId="6">
    <w:abstractNumId w:val="7"/>
    <w:lvlOverride w:ilvl="0">
      <w:startOverride w:val="4"/>
    </w:lvlOverride>
  </w:num>
  <w:num w:numId="7">
    <w:abstractNumId w:val="7"/>
    <w:lvlOverride w:ilvl="0">
      <w:startOverride w:val="5"/>
      <w:lvl w:ilvl="0">
        <w:start w:val="5"/>
        <w:numFmt w:val="decimal"/>
        <w:isLgl w:val="false"/>
        <w:suff w:val="tab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8">
    <w:abstractNumId w:val="11"/>
  </w:num>
  <w:num w:numId="9">
    <w:abstractNumId w:val="6"/>
  </w:num>
  <w:num w:numId="10">
    <w:abstractNumId w:val="6"/>
    <w:lvlOverride w:ilvl="0">
      <w:startOverride w:val="2"/>
      <w:lvl w:ilvl="0">
        <w:start w:val="2"/>
        <w:numFmt w:val="decimal"/>
        <w:isLgl w:val="false"/>
        <w:suff w:val="tab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1">
    <w:abstractNumId w:val="15"/>
  </w:num>
  <w:num w:numId="12">
    <w:abstractNumId w:val="0"/>
  </w:num>
  <w:num w:numId="13">
    <w:abstractNumId w:val="3"/>
  </w:num>
  <w:num w:numId="14">
    <w:abstractNumId w:val="12"/>
  </w:num>
  <w:num w:numId="15">
    <w:abstractNumId w:val="6"/>
    <w:lvlOverride w:ilvl="0">
      <w:startOverride w:val="1"/>
      <w:lvl w:ilvl="0">
        <w:start w:val="1"/>
        <w:numFmt w:val="decimal"/>
        <w:isLgl w:val="false"/>
        <w:suff w:val="tab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isLgl w:val="false"/>
        <w:suff w:val="tab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6">
    <w:abstractNumId w:val="6"/>
    <w:lvlOverride w:ilvl="0">
      <w:startOverride w:val="1"/>
      <w:lvl w:ilvl="0">
        <w:start w:val="1"/>
        <w:numFmt w:val="decimal"/>
        <w:isLgl w:val="false"/>
        <w:suff w:val="tab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isLgl w:val="false"/>
        <w:suff w:val="tab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isLgl w:val="false"/>
        <w:suff w:val="tab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17">
    <w:abstractNumId w:val="2"/>
  </w:num>
  <w:num w:numId="18">
    <w:abstractNumId w:val="5"/>
  </w:num>
  <w:num w:numId="19">
    <w:abstractNumId w:val="6"/>
    <w:lvlOverride w:ilvl="0">
      <w:startOverride w:val="3"/>
    </w:lvlOverride>
  </w:num>
  <w:num w:numId="20">
    <w:abstractNumId w:val="6"/>
    <w:lvlOverride w:ilvl="0">
      <w:startOverride w:val="4"/>
    </w:lvlOverride>
  </w:num>
  <w:num w:numId="21">
    <w:abstractNumId w:val="9"/>
  </w:num>
  <w:num w:numId="22">
    <w:abstractNumId w:val="1"/>
  </w:num>
  <w:num w:numId="23">
    <w:abstractNumId w:val="6"/>
    <w:lvlOverride w:ilvl="0">
      <w:lvl w:ilvl="0">
        <w:start w:val="5"/>
        <w:numFmt w:val="decimal"/>
        <w:isLgl w:val="false"/>
        <w:suff w:val="tab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spacing w:val="0"/>
          <w:position w:val="0"/>
          <w:highlight w:val="none"/>
          <w:vertAlign w:val="baseline"/>
        </w:rPr>
      </w:lvl>
    </w:lvlOverride>
  </w:num>
  <w:num w:numId="24">
    <w:abstractNumId w:val="10"/>
  </w:num>
  <w:num w:numId="25">
    <w:abstractNumId w:val="13"/>
  </w:num>
  <w:num w:numId="26">
    <w:abstractNumId w:val="14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42"/>
    <w:link w:val="74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42"/>
    <w:link w:val="741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39"/>
    <w:next w:val="739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4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39"/>
    <w:next w:val="739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39"/>
    <w:next w:val="739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39"/>
    <w:next w:val="739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39"/>
    <w:next w:val="739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39"/>
    <w:next w:val="739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39"/>
    <w:next w:val="739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39"/>
    <w:next w:val="739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742"/>
    <w:link w:val="34"/>
    <w:uiPriority w:val="10"/>
    <w:rPr>
      <w:sz w:val="48"/>
      <w:szCs w:val="48"/>
    </w:rPr>
  </w:style>
  <w:style w:type="paragraph" w:styleId="36">
    <w:name w:val="Subtitle"/>
    <w:basedOn w:val="739"/>
    <w:next w:val="7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2"/>
    <w:link w:val="36"/>
    <w:uiPriority w:val="11"/>
    <w:rPr>
      <w:sz w:val="24"/>
      <w:szCs w:val="24"/>
    </w:rPr>
  </w:style>
  <w:style w:type="paragraph" w:styleId="38">
    <w:name w:val="Quote"/>
    <w:basedOn w:val="739"/>
    <w:next w:val="7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9"/>
    <w:next w:val="73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42"/>
    <w:link w:val="762"/>
    <w:uiPriority w:val="99"/>
  </w:style>
  <w:style w:type="character" w:styleId="45">
    <w:name w:val="Footer Char"/>
    <w:basedOn w:val="742"/>
    <w:link w:val="749"/>
    <w:uiPriority w:val="99"/>
  </w:style>
  <w:style w:type="paragraph" w:styleId="46">
    <w:name w:val="Caption"/>
    <w:basedOn w:val="739"/>
    <w:next w:val="7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49"/>
    <w:uiPriority w:val="99"/>
  </w:style>
  <w:style w:type="table" w:styleId="49">
    <w:name w:val="Table Grid Light"/>
    <w:basedOn w:val="7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66"/>
    <w:uiPriority w:val="99"/>
    <w:rPr>
      <w:sz w:val="18"/>
    </w:rPr>
  </w:style>
  <w:style w:type="paragraph" w:styleId="178">
    <w:name w:val="endnote text"/>
    <w:basedOn w:val="7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42"/>
    <w:uiPriority w:val="99"/>
    <w:semiHidden/>
    <w:unhideWhenUsed/>
    <w:rPr>
      <w:vertAlign w:val="superscript"/>
    </w:rPr>
  </w:style>
  <w:style w:type="paragraph" w:styleId="182">
    <w:name w:val="toc 2"/>
    <w:basedOn w:val="739"/>
    <w:next w:val="739"/>
    <w:uiPriority w:val="39"/>
    <w:unhideWhenUsed/>
    <w:pPr>
      <w:spacing w:after="57"/>
      <w:ind w:left="283" w:right="0" w:firstLine="0"/>
    </w:pPr>
  </w:style>
  <w:style w:type="paragraph" w:styleId="184">
    <w:name w:val="toc 4"/>
    <w:basedOn w:val="739"/>
    <w:next w:val="739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739"/>
    <w:next w:val="739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739"/>
    <w:next w:val="739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739"/>
    <w:next w:val="739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739"/>
    <w:next w:val="739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739"/>
    <w:next w:val="739"/>
    <w:uiPriority w:val="39"/>
    <w:unhideWhenUsed/>
    <w:pPr>
      <w:spacing w:after="57"/>
      <w:ind w:left="2268" w:right="0" w:firstLine="0"/>
    </w:pPr>
  </w:style>
  <w:style w:type="paragraph" w:styleId="191">
    <w:name w:val="table of figures"/>
    <w:basedOn w:val="739"/>
    <w:next w:val="739"/>
    <w:uiPriority w:val="99"/>
    <w:unhideWhenUsed/>
    <w:pPr>
      <w:spacing w:after="0" w:afterAutospacing="0"/>
    </w:pPr>
  </w:style>
  <w:style w:type="paragraph" w:styleId="739" w:default="1">
    <w:name w:val="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200" w:line="276" w:lineRule="auto"/>
    </w:pPr>
    <w:rPr>
      <w:rFonts w:ascii="Calibri" w:hAnsi="Calibri" w:eastAsia="Calibri" w:cs="Calibri"/>
      <w:color w:val="000000"/>
      <w:lang w:eastAsia="ru-RU"/>
    </w:rPr>
  </w:style>
  <w:style w:type="paragraph" w:styleId="740">
    <w:name w:val="Heading 1"/>
    <w:next w:val="739"/>
    <w:link w:val="745"/>
    <w:pPr>
      <w:keepNext/>
      <w:keepLines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before="480" w:after="0" w:line="276" w:lineRule="auto"/>
      <w:outlineLvl w:val="0"/>
    </w:pPr>
    <w:rPr>
      <w:rFonts w:ascii="Calibri" w:hAnsi="Calibri" w:eastAsia="Calibri" w:cs="Calibri"/>
      <w:b/>
      <w:bCs/>
      <w:color w:val="17365d"/>
      <w:sz w:val="32"/>
      <w:szCs w:val="32"/>
      <w:lang w:eastAsia="ru-RU"/>
    </w:rPr>
  </w:style>
  <w:style w:type="paragraph" w:styleId="741">
    <w:name w:val="Heading 2"/>
    <w:next w:val="739"/>
    <w:link w:val="746"/>
    <w:pPr>
      <w:keepNext/>
      <w:keepLines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before="200" w:after="0" w:line="276" w:lineRule="auto"/>
      <w:outlineLvl w:val="1"/>
    </w:pPr>
    <w:rPr>
      <w:rFonts w:ascii="Cambria" w:hAnsi="Cambria" w:eastAsia="Cambria" w:cs="Cambria"/>
      <w:b/>
      <w:bCs/>
      <w:color w:val="4f81bd"/>
      <w:sz w:val="26"/>
      <w:szCs w:val="26"/>
      <w:lang w:eastAsia="ru-RU"/>
    </w:rPr>
  </w:style>
  <w:style w:type="character" w:styleId="742" w:default="1">
    <w:name w:val="Default Paragraph Font"/>
    <w:uiPriority w:val="1"/>
    <w:semiHidden/>
    <w:unhideWhenUsed/>
  </w:style>
  <w:style w:type="table" w:styleId="7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4" w:default="1">
    <w:name w:val="No List"/>
    <w:uiPriority w:val="99"/>
    <w:semiHidden/>
    <w:unhideWhenUsed/>
  </w:style>
  <w:style w:type="character" w:styleId="745" w:customStyle="1">
    <w:name w:val="Заголовок 1 Знак"/>
    <w:basedOn w:val="742"/>
    <w:link w:val="740"/>
    <w:rPr>
      <w:rFonts w:ascii="Calibri" w:hAnsi="Calibri" w:eastAsia="Calibri" w:cs="Calibri"/>
      <w:b/>
      <w:bCs/>
      <w:color w:val="17365d"/>
      <w:sz w:val="32"/>
      <w:szCs w:val="32"/>
      <w:lang w:eastAsia="ru-RU"/>
    </w:rPr>
  </w:style>
  <w:style w:type="character" w:styleId="746" w:customStyle="1">
    <w:name w:val="Заголовок 2 Знак"/>
    <w:basedOn w:val="742"/>
    <w:link w:val="741"/>
    <w:rPr>
      <w:rFonts w:ascii="Cambria" w:hAnsi="Cambria" w:eastAsia="Cambria" w:cs="Cambria"/>
      <w:b/>
      <w:bCs/>
      <w:color w:val="4f81bd"/>
      <w:sz w:val="26"/>
      <w:szCs w:val="26"/>
      <w:lang w:eastAsia="ru-RU"/>
    </w:rPr>
  </w:style>
  <w:style w:type="table" w:styleId="747" w:customStyle="1">
    <w:name w:val="Table 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48" w:customStyle="1">
    <w:name w:val="Колонтитулы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right" w:pos="9020" w:leader="none"/>
      </w:tabs>
      <w:spacing w:after="0" w:line="240" w:lineRule="auto"/>
    </w:pPr>
    <w:rPr>
      <w:rFonts w:ascii="Helvetica Neue" w:hAnsi="Helvetica Neue" w:eastAsia="Arial Unicode MS" w:cs="Arial Unicode MS"/>
      <w:color w:val="000000"/>
      <w:sz w:val="24"/>
      <w:szCs w:val="24"/>
      <w:lang w:eastAsia="ru-RU"/>
    </w:rPr>
  </w:style>
  <w:style w:type="paragraph" w:styleId="749">
    <w:name w:val="Footer"/>
    <w:link w:val="750"/>
    <w:uiPriority w:val="9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enter" w:pos="4677" w:leader="none"/>
        <w:tab w:val="right" w:pos="9355" w:leader="none"/>
      </w:tabs>
      <w:spacing w:after="0" w:line="240" w:lineRule="auto"/>
    </w:pPr>
    <w:rPr>
      <w:rFonts w:ascii="Calibri" w:hAnsi="Calibri" w:eastAsia="Calibri" w:cs="Calibri"/>
      <w:color w:val="000000"/>
      <w:lang w:eastAsia="ru-RU"/>
    </w:rPr>
  </w:style>
  <w:style w:type="character" w:styleId="750" w:customStyle="1">
    <w:name w:val="Нижний колонтитул Знак"/>
    <w:basedOn w:val="742"/>
    <w:link w:val="749"/>
    <w:uiPriority w:val="99"/>
    <w:rPr>
      <w:rFonts w:ascii="Calibri" w:hAnsi="Calibri" w:eastAsia="Calibri" w:cs="Calibri"/>
      <w:color w:val="000000"/>
      <w:lang w:eastAsia="ru-RU"/>
    </w:rPr>
  </w:style>
  <w:style w:type="paragraph" w:styleId="751">
    <w:name w:val="TOC Heading"/>
    <w:next w:val="739"/>
    <w:pPr>
      <w:keepNext/>
      <w:keepLines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before="480" w:after="0" w:line="276" w:lineRule="auto"/>
    </w:pPr>
    <w:rPr>
      <w:rFonts w:ascii="Calibri" w:hAnsi="Calibri" w:eastAsia="Calibri" w:cs="Calibri"/>
      <w:b/>
      <w:bCs/>
      <w:color w:val="17365d"/>
      <w:sz w:val="32"/>
      <w:szCs w:val="32"/>
      <w:lang w:eastAsia="ru-RU"/>
    </w:rPr>
  </w:style>
  <w:style w:type="paragraph" w:styleId="752">
    <w:name w:val="toc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left" w:pos="440" w:leader="none"/>
        <w:tab w:val="right" w:pos="9770" w:leader="dot"/>
      </w:tabs>
      <w:spacing w:after="100" w:line="276" w:lineRule="auto"/>
    </w:pPr>
    <w:rPr>
      <w:rFonts w:ascii="Calibri" w:hAnsi="Calibri" w:eastAsia="Calibri" w:cs="Calibri"/>
      <w:color w:val="000000"/>
      <w:lang w:eastAsia="ru-RU"/>
    </w:rPr>
  </w:style>
  <w:style w:type="paragraph" w:styleId="753">
    <w:name w:val="toc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left" w:pos="880" w:leader="none"/>
        <w:tab w:val="right" w:pos="9770" w:leader="dot"/>
      </w:tabs>
      <w:spacing w:after="100" w:line="276" w:lineRule="auto"/>
      <w:ind w:left="220"/>
    </w:pPr>
    <w:rPr>
      <w:rFonts w:ascii="Times New Roman" w:hAnsi="Times New Roman" w:eastAsia="Times New Roman" w:cs="Times New Roman"/>
      <w:color w:val="000000"/>
      <w:lang w:eastAsia="ru-RU"/>
    </w:rPr>
  </w:style>
  <w:style w:type="paragraph" w:styleId="754" w:customStyle="1">
    <w:name w:val="Заголовк 2 (РЭР)"/>
    <w:pPr>
      <w:keepNext/>
      <w:keepLines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left" w:pos="357" w:leader="none"/>
      </w:tabs>
      <w:spacing w:before="360" w:after="240" w:line="276" w:lineRule="auto"/>
      <w:outlineLvl w:val="2"/>
    </w:pPr>
    <w:rPr>
      <w:rFonts w:ascii="Calibri" w:hAnsi="Calibri" w:eastAsia="Calibri" w:cs="Calibri"/>
      <w:b/>
      <w:bCs/>
      <w:color w:val="17365d"/>
      <w:sz w:val="28"/>
      <w:szCs w:val="28"/>
      <w:lang w:eastAsia="ru-RU"/>
    </w:rPr>
  </w:style>
  <w:style w:type="paragraph" w:styleId="755" w:customStyle="1">
    <w:name w:val="Абзац списка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200" w:line="276" w:lineRule="auto"/>
      <w:ind w:left="720"/>
    </w:pPr>
    <w:rPr>
      <w:rFonts w:ascii="Times New Roman" w:hAnsi="Times New Roman" w:eastAsia="Times New Roman" w:cs="Times New Roman"/>
      <w:color w:val="000000"/>
      <w:lang w:eastAsia="ru-RU"/>
    </w:rPr>
  </w:style>
  <w:style w:type="numbering" w:styleId="756" w:customStyle="1">
    <w:name w:val="Импортированный стиль 1"/>
    <w:pPr>
      <w:numPr>
        <w:numId w:val="8"/>
        <w:ilvl w:val="0"/>
      </w:numPr>
    </w:pPr>
  </w:style>
  <w:style w:type="numbering" w:styleId="757" w:customStyle="1">
    <w:name w:val="Импортированный стиль 3"/>
    <w:pPr>
      <w:numPr>
        <w:numId w:val="11"/>
        <w:ilvl w:val="0"/>
      </w:numPr>
    </w:pPr>
  </w:style>
  <w:style w:type="numbering" w:styleId="758" w:customStyle="1">
    <w:name w:val="Импортированный стиль 8"/>
    <w:pPr>
      <w:numPr>
        <w:numId w:val="13"/>
        <w:ilvl w:val="0"/>
      </w:numPr>
    </w:pPr>
  </w:style>
  <w:style w:type="paragraph" w:styleId="759">
    <w:name w:val="List Paragraph"/>
    <w:link w:val="764"/>
    <w:uiPriority w:val="34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200" w:line="276" w:lineRule="auto"/>
      <w:ind w:left="720"/>
    </w:pPr>
    <w:rPr>
      <w:rFonts w:ascii="Times New Roman" w:hAnsi="Times New Roman" w:eastAsia="Arial Unicode MS" w:cs="Arial Unicode MS"/>
      <w:color w:val="000000"/>
      <w:lang w:eastAsia="ru-RU"/>
    </w:rPr>
  </w:style>
  <w:style w:type="numbering" w:styleId="760" w:customStyle="1">
    <w:name w:val="Импортированный стиль 5"/>
    <w:pPr>
      <w:numPr>
        <w:numId w:val="21"/>
        <w:ilvl w:val="0"/>
      </w:numPr>
    </w:pPr>
  </w:style>
  <w:style w:type="table" w:styleId="761">
    <w:name w:val="Table Grid"/>
    <w:basedOn w:val="743"/>
    <w:uiPriority w:val="5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Arial Unicode MS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62">
    <w:name w:val="Header"/>
    <w:basedOn w:val="739"/>
    <w:link w:val="763"/>
    <w:uiPriority w:val="99"/>
    <w:unhideWhenUsed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763" w:customStyle="1">
    <w:name w:val="Верхний колонтитул Знак"/>
    <w:basedOn w:val="742"/>
    <w:link w:val="762"/>
    <w:uiPriority w:val="99"/>
    <w:rPr>
      <w:rFonts w:ascii="Calibri" w:hAnsi="Calibri" w:eastAsia="Calibri" w:cs="Calibri"/>
      <w:color w:val="000000"/>
      <w:lang w:eastAsia="ru-RU"/>
    </w:rPr>
  </w:style>
  <w:style w:type="character" w:styleId="764" w:customStyle="1">
    <w:name w:val="Абзац списка Знак"/>
    <w:link w:val="759"/>
    <w:uiPriority w:val="34"/>
    <w:rPr>
      <w:rFonts w:ascii="Times New Roman" w:hAnsi="Times New Roman" w:eastAsia="Arial Unicode MS" w:cs="Arial Unicode MS"/>
      <w:color w:val="000000"/>
      <w:lang w:eastAsia="ru-RU"/>
    </w:rPr>
  </w:style>
  <w:style w:type="character" w:styleId="765">
    <w:name w:val="Hyperlink"/>
    <w:basedOn w:val="742"/>
    <w:uiPriority w:val="99"/>
    <w:unhideWhenUsed/>
    <w:rPr>
      <w:color w:val="0563c1" w:themeColor="hyperlink"/>
      <w:u w:val="single"/>
    </w:rPr>
  </w:style>
  <w:style w:type="paragraph" w:styleId="766">
    <w:name w:val="footnote text"/>
    <w:basedOn w:val="739"/>
    <w:link w:val="76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67" w:customStyle="1">
    <w:name w:val="Текст сноски Знак"/>
    <w:basedOn w:val="742"/>
    <w:link w:val="766"/>
    <w:uiPriority w:val="99"/>
    <w:semiHidden/>
    <w:rPr>
      <w:rFonts w:ascii="Calibri" w:hAnsi="Calibri" w:eastAsia="Calibri" w:cs="Calibri"/>
      <w:color w:val="000000"/>
      <w:sz w:val="20"/>
      <w:szCs w:val="20"/>
      <w:lang w:eastAsia="ru-RU"/>
    </w:rPr>
  </w:style>
  <w:style w:type="character" w:styleId="768">
    <w:name w:val="footnote reference"/>
    <w:basedOn w:val="742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B02AA-C432-49BB-85EE-E9F143F4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Interrao</Company>
  <DocSecurity>1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Евгений Александрович</dc:creator>
  <cp:keywords/>
  <dc:description/>
  <cp:lastModifiedBy>bobyakov_as</cp:lastModifiedBy>
  <cp:revision>65</cp:revision>
  <dcterms:created xsi:type="dcterms:W3CDTF">2025-05-21T13:58:00Z</dcterms:created>
  <dcterms:modified xsi:type="dcterms:W3CDTF">2025-07-01T08:09:43Z</dcterms:modified>
</cp:coreProperties>
</file>